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重庆市安全生产协会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安全管理标准化班组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创建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第一章 总则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为进一步夯实企业班组基层基础工作，强化员工岗位责任落实，推进企业安全管理标准化班组建设，促进企业安全管理整体水平的提升。按照《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中共重庆市委 重庆市人民政府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关于推进安全生产领域改革发展的实施意见》（渝委发〔2017〕15号）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，制定本管理办法。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重庆市安全生产协会会员单位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均可依照本办法自愿申报。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 xml:space="preserve">第三条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“安全管理标准化班组”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（以下简称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创建及评定工作按照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自评、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、现场评定、综合评定、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公示、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命名授牌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程序进行。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第四条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highlight w:val="none"/>
          <w:lang w:val="en-US" w:eastAsia="zh-CN"/>
        </w:rPr>
        <w:t>标准化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highlight w:val="none"/>
          <w:lang w:eastAsia="zh-CN"/>
        </w:rPr>
        <w:t>班组评定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highlight w:val="none"/>
          <w:lang w:eastAsia="zh-CN"/>
        </w:rPr>
        <w:t>是属于全市安全生产领域业务活动性质的技术考核工作。重庆市安全生产协会设立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highlight w:val="none"/>
          <w:lang w:val="en-US" w:eastAsia="zh-CN"/>
        </w:rPr>
        <w:t>安全管理标准化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highlight w:val="none"/>
          <w:lang w:eastAsia="zh-CN"/>
        </w:rPr>
        <w:t>班组评定委员会（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eastAsia="zh-CN"/>
        </w:rPr>
        <w:t>以下简称“评委会”），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</w:rPr>
        <w:t>负责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val="en-US" w:eastAsia="zh-CN"/>
        </w:rPr>
        <w:t>标准化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eastAsia="zh-CN"/>
        </w:rPr>
        <w:t>班组创建及评定工作的统筹、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val="en-US" w:eastAsia="zh-CN"/>
        </w:rPr>
        <w:t>协调、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eastAsia="zh-CN"/>
        </w:rPr>
        <w:t>组织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val="en-US" w:eastAsia="zh-CN"/>
        </w:rPr>
        <w:t>和服务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eastAsia="zh-CN"/>
        </w:rPr>
        <w:t>等工作，评委会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下设办公室和评定专家组，办公室和评定专家组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  <w:lang w:eastAsia="zh-CN"/>
        </w:rPr>
        <w:t>设在重庆市安全生产协会秘书处，办公室负责日常事务性工作，评定专家组负责专业技术性工作。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 xml:space="preserve">第二章 申请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申请的基本条件：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（一）班组成立1年以上；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人员要保持稳定，当年人员流动率不超过20%；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27" w:firstLineChars="196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（三）申请之日前三年内班组及个人未发生安全生产责任事故。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应提交的材料：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自评表；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班组创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textAlignment w:val="auto"/>
        <w:rPr>
          <w:rFonts w:hint="eastAsia" w:ascii="方正仿宋_GBK" w:hAnsi="方正仿宋_GBK" w:eastAsia="方正黑体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 xml:space="preserve">章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3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各企业自行组织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自评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的基础上，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将符合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条件的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班组创建材料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装订成册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电子版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u盘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）一起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，报评委会办公室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，评委会办公室对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不符合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条件的班组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终止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评定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；需要补充材料的，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反馈企业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补报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材料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atLeast"/>
        <w:ind w:firstLine="643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材料齐全的申报材料，由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评定专家组对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申请班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现场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评定。专家组由3-5人组成，设组长1人，组成人员由评委会办公室从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协会专家库、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相关科研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院校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和相关企业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中抽调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资深安全生产专家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参与，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组长须由具有高级技术职称的安全专家或具有丰富企业安全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经验的人员担任。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76" w:lineRule="atLeas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 xml:space="preserve">第九条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现场评定人员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应具有安全相关业务的专业知识，无违法、失信等不良信用记录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，与申请方没有直接利益关系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，并依法对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评定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结果负责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第十条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现场评定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遵循“客观、公平、公正、公开”原则，严谨务实、清廉自律、遵守保密规定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具体实施工作以《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标准》和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《考评细则》和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管理办法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为依据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现场评定人员职责：准确记录评定工作情况、对现场评定提出评定意见。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现场评定程序：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采取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听取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介绍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、现场查看、查阅资料、交谈等方式进行现场打分，现场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结束后，出具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现场评定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意见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在10个工作日内向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评定委员会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提交评定工作报告。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评定工作报告主要内容：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（一）现场评定情况和指标评定结论；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）存在问题与整改建议；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）评定结论性意见。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评定委员会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收到现场评定组的评定工作报告后，研究作出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最终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综合评定结论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评定合格的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重庆市安全生产协会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网站进行公示（公示期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接受大众的监督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76" w:lineRule="atLeas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公示期满后，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经公示无异议的，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重庆市安全生产协会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命名为“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重庆市安全生产协会安全管理标准化班组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，颁发“重庆市安全管理标准化班组”证书和牌匾（证书牌匾落款“重庆市安全生产协会”），并抄送重庆市应急管理局和行业管理部门以及所在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区县（园区）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应急管理局。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章 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命名的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应于每年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市安全生产协会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本年度的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年度报告》（以下简称“年度报告”）。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市安全生产协会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根据年度报告对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班组不定期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进行抽检。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十八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称号有效期为3年。期满前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个月内，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应自主提出复审申请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复审应提交的材料，参照本办法第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十九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在保持“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安全管理标准化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班组”称号期间，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有下列情形之一的，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由协会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撤销称号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，以适当的形式及时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公告，并收回牌匾和证书。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（一）发生死亡或一次3人（含）以上重伤生产安全责任事故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）不提交年度报告的；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）到期不提出复审申请或复审不合格的；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07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）被查出申报过程或材料弄虚作假的。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第二十条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被撤销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称号的，自撤销之日起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年内不得再次申报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班组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章 附则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第二十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本办法由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重庆市安全生产协会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 xml:space="preserve">负责解释。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1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第二十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本办法自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印发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之日起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施行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both"/>
        <w:textAlignment w:val="auto"/>
        <w:rPr>
          <w:rFonts w:hint="eastAsia" w:ascii="黑体" w:hAnsi="黑体" w:eastAsia="黑体" w:cs="黑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880" w:firstLineChars="200"/>
        <w:jc w:val="center"/>
        <w:textAlignment w:val="auto"/>
        <w:rPr>
          <w:rFonts w:ascii="黑体" w:hAnsi="黑体" w:eastAsia="黑体" w:cs="黑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4CAE0-CE4D-49AF-AD39-908CFC563C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1FACAD-5E0B-4284-833D-E4D86E653DA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DF4AB1F-DD0F-43A9-A96E-B971F4D904A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876430C-00D7-48EC-8D2C-C1F1847FEB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0AF37B4-FC1B-4F94-A664-9AB7079724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jM2MTg0YWI0ZmVhNDZmMjNkODhlZjBjZWM0OWQifQ=="/>
  </w:docVars>
  <w:rsids>
    <w:rsidRoot w:val="56932502"/>
    <w:rsid w:val="050B61F4"/>
    <w:rsid w:val="0F0A751C"/>
    <w:rsid w:val="0F115DFB"/>
    <w:rsid w:val="10B509A6"/>
    <w:rsid w:val="1A40003E"/>
    <w:rsid w:val="1CFE2773"/>
    <w:rsid w:val="1FD3408F"/>
    <w:rsid w:val="28370E75"/>
    <w:rsid w:val="2ABF5944"/>
    <w:rsid w:val="2C5B43E3"/>
    <w:rsid w:val="2CA36AD9"/>
    <w:rsid w:val="2D5049CE"/>
    <w:rsid w:val="2F0B7FEE"/>
    <w:rsid w:val="30B448C0"/>
    <w:rsid w:val="34B82446"/>
    <w:rsid w:val="35FC05B5"/>
    <w:rsid w:val="40E56385"/>
    <w:rsid w:val="41CF70A8"/>
    <w:rsid w:val="49A94D0C"/>
    <w:rsid w:val="4F8D5693"/>
    <w:rsid w:val="4FB912D3"/>
    <w:rsid w:val="50125B55"/>
    <w:rsid w:val="56932502"/>
    <w:rsid w:val="576B7111"/>
    <w:rsid w:val="59D2526B"/>
    <w:rsid w:val="64D87B76"/>
    <w:rsid w:val="69612B31"/>
    <w:rsid w:val="6A7C55B8"/>
    <w:rsid w:val="6C315958"/>
    <w:rsid w:val="6F465E81"/>
    <w:rsid w:val="702E6114"/>
    <w:rsid w:val="72C963D7"/>
    <w:rsid w:val="7CEE33DE"/>
    <w:rsid w:val="7E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autoRedefine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不明显强调1"/>
    <w:basedOn w:val="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1646</Words>
  <Characters>1658</Characters>
  <Lines>0</Lines>
  <Paragraphs>0</Paragraphs>
  <TotalTime>5</TotalTime>
  <ScaleCrop>false</ScaleCrop>
  <LinksUpToDate>false</LinksUpToDate>
  <CharactersWithSpaces>1692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2020-03-23T01:15:00Z</dcterms:created>
  <dc:creator>大喜庆</dc:creator>
  <cp:lastModifiedBy>Joy</cp:lastModifiedBy>
  <cp:lastPrinted>2022-08-12T07:50:00Z</cp:lastPrinted>
  <dcterms:modified xsi:type="dcterms:W3CDTF">2024-04-12T02:59:22Z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2FBEB8D1531544988E6F452F8B78986B</vt:lpwstr>
  </property>
</Properties>
</file>